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</w:t>
      </w:r>
      <w:r>
        <w:rPr>
          <w:rFonts w:cs="Times New Roman" w:ascii="Times New Roman" w:hAnsi="Times New Roman"/>
          <w:bCs/>
          <w:sz w:val="34"/>
          <w:szCs w:val="34"/>
        </w:rPr>
        <w:t>8</w:t>
      </w:r>
      <w:r>
        <w:rPr>
          <w:rFonts w:cs="Times New Roman" w:ascii="Times New Roman" w:hAnsi="Times New Roman"/>
          <w:bCs/>
          <w:sz w:val="34"/>
          <w:szCs w:val="34"/>
        </w:rPr>
        <w:t>.2023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2023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 xml:space="preserve">864 семьи,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 xml:space="preserve">135 семей реализовали средства областного материнского семейного капитала. С 2023 года его размер составляет 123,3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 xml:space="preserve">525 семей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3,3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Application>LibreOffice/7.0.6.2$Linux_X86_64 LibreOffice_project/00$Build-2</Application>
  <AppVersion>15.0000</AppVersion>
  <Pages>1</Pages>
  <Words>133</Words>
  <Characters>929</Characters>
  <CharactersWithSpaces>1100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2023-06-28T11:24:49Z</cp:lastPrinted>
  <dcterms:modified xsi:type="dcterms:W3CDTF">2023-07-26T10:36:35Z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